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20BF" w14:textId="77777777" w:rsidR="002322E8" w:rsidRPr="00827C18" w:rsidRDefault="009F36F9" w:rsidP="00827C18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F36F9">
        <w:rPr>
          <w:b/>
          <w:lang w:val="es-ES"/>
        </w:rPr>
        <w:t>RESUMEN  LEY 2155 DE 2021</w:t>
      </w:r>
    </w:p>
    <w:p w14:paraId="500AF2A3" w14:textId="77777777" w:rsidR="009F36F9" w:rsidRPr="00827C18" w:rsidRDefault="009F36F9" w:rsidP="00827C18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F0B3A59" w14:textId="77777777" w:rsidR="009F36F9" w:rsidRPr="00827C18" w:rsidRDefault="009F36F9" w:rsidP="00827C1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7C18">
        <w:rPr>
          <w:rFonts w:ascii="Arial" w:hAnsi="Arial" w:cs="Arial"/>
          <w:sz w:val="22"/>
          <w:szCs w:val="22"/>
          <w:lang w:val="es-ES"/>
        </w:rPr>
        <w:t>Fecha de expedición : 14 de septiembre de 2021</w:t>
      </w:r>
    </w:p>
    <w:p w14:paraId="7CCA3EB9" w14:textId="77777777" w:rsidR="009F36F9" w:rsidRPr="00827C18" w:rsidRDefault="009F36F9" w:rsidP="00827C1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7C18">
        <w:rPr>
          <w:rFonts w:ascii="Arial" w:hAnsi="Arial" w:cs="Arial"/>
          <w:sz w:val="22"/>
          <w:szCs w:val="22"/>
          <w:lang w:val="es-ES"/>
        </w:rPr>
        <w:t xml:space="preserve">Entidad </w:t>
      </w:r>
      <w:r w:rsidR="00827C18">
        <w:rPr>
          <w:rFonts w:ascii="Arial" w:hAnsi="Arial" w:cs="Arial"/>
          <w:sz w:val="22"/>
          <w:szCs w:val="22"/>
          <w:lang w:val="es-ES"/>
        </w:rPr>
        <w:t>que la expide : Congreso de la R</w:t>
      </w:r>
      <w:r w:rsidRPr="00827C18">
        <w:rPr>
          <w:rFonts w:ascii="Arial" w:hAnsi="Arial" w:cs="Arial"/>
          <w:sz w:val="22"/>
          <w:szCs w:val="22"/>
          <w:lang w:val="es-ES"/>
        </w:rPr>
        <w:t xml:space="preserve">epublica </w:t>
      </w:r>
    </w:p>
    <w:p w14:paraId="75D5299A" w14:textId="77777777" w:rsidR="009F36F9" w:rsidRPr="00827C18" w:rsidRDefault="009F36F9" w:rsidP="00827C18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 w:rsidRPr="00827C18">
        <w:rPr>
          <w:rFonts w:ascii="Arial" w:hAnsi="Arial" w:cs="Arial"/>
          <w:sz w:val="22"/>
          <w:szCs w:val="22"/>
          <w:lang w:val="es-ES"/>
        </w:rPr>
        <w:t xml:space="preserve">Tema: </w:t>
      </w:r>
      <w:r w:rsidRPr="00827C18">
        <w:rPr>
          <w:rFonts w:ascii="Arial" w:hAnsi="Arial" w:cs="Arial"/>
          <w:bCs/>
          <w:color w:val="111111"/>
          <w:sz w:val="22"/>
          <w:szCs w:val="22"/>
        </w:rPr>
        <w:t>LEY DE INVERSION SOCIA</w:t>
      </w:r>
      <w:r w:rsidRPr="00827C18">
        <w:rPr>
          <w:rFonts w:ascii="Arial" w:hAnsi="Arial" w:cs="Arial"/>
          <w:bCs/>
          <w:color w:val="111111"/>
          <w:sz w:val="22"/>
          <w:szCs w:val="22"/>
        </w:rPr>
        <w:t>L Y SE DICTAN OTRAS</w:t>
      </w:r>
      <w:r w:rsidRPr="00827C18">
        <w:rPr>
          <w:rFonts w:ascii="Arial" w:hAnsi="Arial" w:cs="Arial"/>
          <w:b/>
          <w:bCs/>
          <w:color w:val="111111"/>
          <w:sz w:val="22"/>
          <w:szCs w:val="22"/>
        </w:rPr>
        <w:t xml:space="preserve"> </w:t>
      </w:r>
      <w:r w:rsidRPr="00F313AA">
        <w:rPr>
          <w:rFonts w:ascii="Arial" w:hAnsi="Arial" w:cs="Arial"/>
          <w:bCs/>
          <w:color w:val="111111"/>
          <w:sz w:val="22"/>
          <w:szCs w:val="22"/>
        </w:rPr>
        <w:t>DISPOSICION</w:t>
      </w:r>
      <w:r w:rsidRPr="00F313AA">
        <w:rPr>
          <w:rFonts w:ascii="Arial" w:hAnsi="Arial" w:cs="Arial"/>
          <w:bCs/>
          <w:color w:val="111111"/>
          <w:sz w:val="22"/>
          <w:szCs w:val="22"/>
        </w:rPr>
        <w:t>ES</w:t>
      </w:r>
      <w:r w:rsidRPr="00827C18">
        <w:rPr>
          <w:rFonts w:ascii="Arial" w:hAnsi="Arial" w:cs="Arial"/>
          <w:b/>
          <w:bCs/>
          <w:color w:val="111111"/>
          <w:sz w:val="22"/>
          <w:szCs w:val="22"/>
        </w:rPr>
        <w:t xml:space="preserve"> </w:t>
      </w:r>
    </w:p>
    <w:p w14:paraId="0DA9F674" w14:textId="77777777" w:rsidR="009F36F9" w:rsidRPr="00827C18" w:rsidRDefault="009F36F9" w:rsidP="00827C18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4C607D35" w14:textId="77777777" w:rsidR="00827C18" w:rsidRPr="00827C18" w:rsidRDefault="00827C18" w:rsidP="00827C1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b/>
          <w:bCs/>
          <w:color w:val="111111"/>
          <w:sz w:val="22"/>
          <w:szCs w:val="22"/>
        </w:rPr>
        <w:t xml:space="preserve">Deroga : 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partir de su </w:t>
      </w:r>
      <w:r w:rsidRPr="00827C18">
        <w:rPr>
          <w:rFonts w:ascii="Arial" w:hAnsi="Arial" w:cs="Arial"/>
          <w:color w:val="141414"/>
          <w:sz w:val="22"/>
          <w:szCs w:val="22"/>
        </w:rPr>
        <w:t>promulgación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deroga el </w:t>
      </w:r>
      <w:bookmarkStart w:id="0" w:name="_GoBack"/>
      <w:bookmarkEnd w:id="0"/>
      <w:r w:rsidRPr="00827C18">
        <w:rPr>
          <w:rFonts w:ascii="Arial" w:hAnsi="Arial" w:cs="Arial"/>
          <w:color w:val="141414"/>
          <w:sz w:val="22"/>
          <w:szCs w:val="22"/>
        </w:rPr>
        <w:t>parágrafo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4 del </w:t>
      </w:r>
      <w:r w:rsidRPr="00827C18">
        <w:rPr>
          <w:rFonts w:ascii="Arial" w:hAnsi="Arial" w:cs="Arial"/>
          <w:color w:val="141414"/>
          <w:sz w:val="22"/>
          <w:szCs w:val="22"/>
        </w:rPr>
        <w:t>artículo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23-1, </w:t>
      </w:r>
      <w:r w:rsidRPr="00827C18">
        <w:rPr>
          <w:rFonts w:ascii="Arial" w:hAnsi="Arial" w:cs="Arial"/>
          <w:color w:val="141414"/>
          <w:sz w:val="22"/>
          <w:szCs w:val="22"/>
        </w:rPr>
        <w:t>parágrafo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1 del </w:t>
      </w:r>
      <w:r w:rsidRPr="00827C18">
        <w:rPr>
          <w:rFonts w:ascii="Arial" w:hAnsi="Arial" w:cs="Arial"/>
          <w:color w:val="141414"/>
          <w:sz w:val="22"/>
          <w:szCs w:val="22"/>
        </w:rPr>
        <w:t>artículo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115, literal f) del numeral 1 del </w:t>
      </w:r>
      <w:r w:rsidRPr="00827C18">
        <w:rPr>
          <w:rFonts w:ascii="Arial" w:hAnsi="Arial" w:cs="Arial"/>
          <w:color w:val="141414"/>
          <w:sz w:val="22"/>
          <w:szCs w:val="22"/>
        </w:rPr>
        <w:t>artículo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235-2 y numeral 3 del </w:t>
      </w:r>
      <w:r w:rsidRPr="00827C18">
        <w:rPr>
          <w:rFonts w:ascii="Arial" w:hAnsi="Arial" w:cs="Arial"/>
          <w:color w:val="141414"/>
          <w:sz w:val="22"/>
          <w:szCs w:val="22"/>
        </w:rPr>
        <w:t>parágrafo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7 del </w:t>
      </w:r>
      <w:r w:rsidRPr="00827C18">
        <w:rPr>
          <w:rFonts w:ascii="Arial" w:hAnsi="Arial" w:cs="Arial"/>
          <w:color w:val="141414"/>
          <w:sz w:val="22"/>
          <w:szCs w:val="22"/>
        </w:rPr>
        <w:t>artículo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240 del Estatuto Tributario, </w:t>
      </w:r>
      <w:r w:rsidRPr="00827C18">
        <w:rPr>
          <w:rFonts w:ascii="Arial" w:hAnsi="Arial" w:cs="Arial"/>
          <w:color w:val="141414"/>
          <w:sz w:val="22"/>
          <w:szCs w:val="22"/>
        </w:rPr>
        <w:t>artículos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3 y 6 de la Ley 1473 de 2011, </w:t>
      </w:r>
      <w:r w:rsidRPr="00827C18">
        <w:rPr>
          <w:rFonts w:ascii="Arial" w:hAnsi="Arial" w:cs="Arial"/>
          <w:color w:val="141414"/>
          <w:sz w:val="22"/>
          <w:szCs w:val="22"/>
        </w:rPr>
        <w:t>parágrafo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2 del </w:t>
      </w:r>
      <w:r w:rsidRPr="00827C18">
        <w:rPr>
          <w:rFonts w:ascii="Arial" w:hAnsi="Arial" w:cs="Arial"/>
          <w:color w:val="141414"/>
          <w:sz w:val="22"/>
          <w:szCs w:val="22"/>
        </w:rPr>
        <w:t>artículo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13 de la Ley 2052 de 2020 e inciso 2 del </w:t>
      </w:r>
      <w:r w:rsidRPr="00827C18">
        <w:rPr>
          <w:rFonts w:ascii="Arial" w:hAnsi="Arial" w:cs="Arial"/>
          <w:color w:val="141414"/>
          <w:sz w:val="22"/>
          <w:szCs w:val="22"/>
        </w:rPr>
        <w:t>parágrafo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1 del </w:t>
      </w:r>
      <w:r w:rsidRPr="00827C18">
        <w:rPr>
          <w:rFonts w:ascii="Arial" w:hAnsi="Arial" w:cs="Arial"/>
          <w:color w:val="141414"/>
          <w:sz w:val="22"/>
          <w:szCs w:val="22"/>
        </w:rPr>
        <w:t>artículo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3 del Decreto Legislativo 639 de 2020 adicionado por </w:t>
      </w:r>
      <w:r w:rsidRPr="00827C18">
        <w:rPr>
          <w:rFonts w:ascii="Arial" w:hAnsi="Arial" w:cs="Arial"/>
          <w:color w:val="141414"/>
          <w:sz w:val="22"/>
          <w:szCs w:val="22"/>
        </w:rPr>
        <w:t>articulo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2 del Decreto Legislativo 677 de 2020 y modificado por el </w:t>
      </w:r>
      <w:r w:rsidRPr="00827C18">
        <w:rPr>
          <w:rFonts w:ascii="Arial" w:hAnsi="Arial" w:cs="Arial"/>
          <w:color w:val="141414"/>
          <w:sz w:val="22"/>
          <w:szCs w:val="22"/>
        </w:rPr>
        <w:t>articulo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3 de la Ley 2060 de 2020. </w:t>
      </w:r>
    </w:p>
    <w:p w14:paraId="2CB03585" w14:textId="77777777" w:rsidR="009F36F9" w:rsidRPr="00827C18" w:rsidRDefault="009F36F9" w:rsidP="00827C1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b/>
          <w:bCs/>
          <w:color w:val="111111"/>
          <w:sz w:val="22"/>
          <w:szCs w:val="22"/>
        </w:rPr>
        <w:t xml:space="preserve">OBJETO: 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adoptar 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medidas de </w:t>
      </w:r>
      <w:r w:rsidRPr="00827C18">
        <w:rPr>
          <w:rFonts w:ascii="Arial" w:hAnsi="Arial" w:cs="Arial"/>
          <w:color w:val="111111"/>
          <w:sz w:val="22"/>
          <w:szCs w:val="22"/>
        </w:rPr>
        <w:t>política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fiscal, en materia de gasto, austeridad y eficiencia del Estado, lucha contra la </w:t>
      </w:r>
      <w:r w:rsidRPr="00827C18">
        <w:rPr>
          <w:rFonts w:ascii="Arial" w:hAnsi="Arial" w:cs="Arial"/>
          <w:color w:val="111111"/>
          <w:sz w:val="22"/>
          <w:szCs w:val="22"/>
        </w:rPr>
        <w:t>evasión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, ingreso y sostenibilidad fiscal, orientadas a dar continuidad y fortalecer el gasto social, </w:t>
      </w:r>
      <w:r w:rsidR="00827C18" w:rsidRPr="00827C18">
        <w:rPr>
          <w:rFonts w:ascii="Arial" w:hAnsi="Arial" w:cs="Arial"/>
          <w:color w:val="111111"/>
          <w:sz w:val="22"/>
          <w:szCs w:val="22"/>
        </w:rPr>
        <w:t>así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́ como a contribuir a la </w:t>
      </w:r>
      <w:r w:rsidRPr="00827C18">
        <w:rPr>
          <w:rFonts w:ascii="Arial" w:hAnsi="Arial" w:cs="Arial"/>
          <w:color w:val="111111"/>
          <w:sz w:val="22"/>
          <w:szCs w:val="22"/>
        </w:rPr>
        <w:t>reactivación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</w:t>
      </w:r>
      <w:r w:rsidRPr="00827C18">
        <w:rPr>
          <w:rFonts w:ascii="Arial" w:hAnsi="Arial" w:cs="Arial"/>
          <w:color w:val="111111"/>
          <w:sz w:val="22"/>
          <w:szCs w:val="22"/>
        </w:rPr>
        <w:t>económica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, a la </w:t>
      </w:r>
      <w:r w:rsidRPr="00827C18">
        <w:rPr>
          <w:rFonts w:ascii="Arial" w:hAnsi="Arial" w:cs="Arial"/>
          <w:color w:val="111111"/>
          <w:sz w:val="22"/>
          <w:szCs w:val="22"/>
        </w:rPr>
        <w:t>generación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de empleo y a la estabilidad fiscal del </w:t>
      </w:r>
      <w:r w:rsidRPr="00827C18">
        <w:rPr>
          <w:rFonts w:ascii="Arial" w:hAnsi="Arial" w:cs="Arial"/>
          <w:color w:val="111111"/>
          <w:sz w:val="22"/>
          <w:szCs w:val="22"/>
        </w:rPr>
        <w:t>país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. </w:t>
      </w:r>
    </w:p>
    <w:p w14:paraId="7F01EBEE" w14:textId="77777777" w:rsidR="009F36F9" w:rsidRPr="00827C18" w:rsidRDefault="009F36F9" w:rsidP="00827C1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7C507A5" w14:textId="77777777" w:rsidR="009F36F9" w:rsidRPr="00827C18" w:rsidRDefault="009F36F9" w:rsidP="00827C18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827C18">
        <w:rPr>
          <w:rFonts w:ascii="Arial" w:hAnsi="Arial" w:cs="Arial"/>
          <w:b/>
          <w:sz w:val="22"/>
          <w:szCs w:val="22"/>
          <w:lang w:val="es-ES"/>
        </w:rPr>
        <w:t xml:space="preserve">ASPECTOS MAS RELEVANTES: </w:t>
      </w:r>
    </w:p>
    <w:p w14:paraId="2CC2F3EC" w14:textId="77777777" w:rsidR="00C47A5C" w:rsidRPr="00827C18" w:rsidRDefault="00C47A5C" w:rsidP="00827C18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E147A4D" w14:textId="77777777" w:rsidR="00C47A5C" w:rsidRPr="00827C18" w:rsidRDefault="00C47A5C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La tarifa del impuesto complementario de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normalización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tributaria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será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́ del 17%. </w:t>
      </w:r>
    </w:p>
    <w:p w14:paraId="02A4C673" w14:textId="77777777" w:rsidR="00003BAA" w:rsidRPr="00827C18" w:rsidRDefault="00003BAA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El nuevo impuesto complementario de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normalización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tributaria se somete a las normas sobre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declaración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, pago,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administración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y control contempladas en los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artículos</w:t>
      </w:r>
      <w:r w:rsidR="00827C18">
        <w:rPr>
          <w:rFonts w:ascii="Arial" w:hAnsi="Arial" w:cs="Arial"/>
          <w:color w:val="141414"/>
          <w:sz w:val="22"/>
          <w:szCs w:val="22"/>
        </w:rPr>
        <w:t xml:space="preserve"> 298, 298-1, 298-2 y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demás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disposiciones concordantes del Estatuto Tributario, que sean compatibles con la naturaleza del impuesto complementario de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normalización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tributaria. </w:t>
      </w:r>
    </w:p>
    <w:p w14:paraId="065DE187" w14:textId="77777777" w:rsidR="00E25C19" w:rsidRPr="00827C18" w:rsidRDefault="00E25C19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La base gravable,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así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́ como todos los </w:t>
      </w:r>
      <w:r w:rsidR="00827C18" w:rsidRPr="00827C18">
        <w:rPr>
          <w:rFonts w:ascii="Arial" w:hAnsi="Arial" w:cs="Arial"/>
          <w:color w:val="141414"/>
          <w:sz w:val="22"/>
          <w:szCs w:val="22"/>
        </w:rPr>
        <w:t>demás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elementos para la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determinación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y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liquidación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del tributo se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determinarán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conformidad con lo establecido en el Estatuto Tributario, por parte de la -DIAN conforme a la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información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obtenida de terceros, el sistema de factura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electrónica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conformidad con lo previsto en el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artículo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616-1 de este Estatuto y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demás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mecanismos contemplados en el Estatuto Tributario. </w:t>
      </w:r>
    </w:p>
    <w:p w14:paraId="5AA1B0EA" w14:textId="77777777" w:rsidR="001376B9" w:rsidRPr="00827C18" w:rsidRDefault="001376B9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b/>
          <w:bCs/>
          <w:color w:val="141414"/>
          <w:sz w:val="22"/>
          <w:szCs w:val="22"/>
        </w:rPr>
        <w:t xml:space="preserve">BENEFICIARIO FINAL.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Entiéndase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por beneficiario</w:t>
      </w:r>
      <w:r w:rsidR="002F68D2">
        <w:rPr>
          <w:rFonts w:ascii="Arial" w:hAnsi="Arial" w:cs="Arial"/>
          <w:color w:val="141414"/>
          <w:sz w:val="22"/>
          <w:szCs w:val="22"/>
        </w:rPr>
        <w:t xml:space="preserve"> final las personas naturales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q</w:t>
      </w:r>
      <w:r w:rsidR="002F68D2">
        <w:rPr>
          <w:rFonts w:ascii="Arial" w:hAnsi="Arial" w:cs="Arial"/>
          <w:color w:val="141414"/>
          <w:sz w:val="22"/>
          <w:szCs w:val="22"/>
        </w:rPr>
        <w:t>ue finalmente poseen o controlan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, directa o indirectamente, a un cliente y/o la persona natural en cuyo nombre se realiza una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transacción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. Incluye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también</w:t>
      </w:r>
      <w:r w:rsidR="002F68D2">
        <w:rPr>
          <w:rFonts w:ascii="Arial" w:hAnsi="Arial" w:cs="Arial"/>
          <w:color w:val="141414"/>
          <w:sz w:val="22"/>
          <w:szCs w:val="22"/>
        </w:rPr>
        <w:t xml:space="preserve"> a las persona(s) naturales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que ejerzan el control efectivo y/o final, directa o indirectamente, sobre una persona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jurídica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u otra estructura sin 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personería</w:t>
      </w:r>
      <w:r w:rsidR="002F68D2">
        <w:rPr>
          <w:rFonts w:ascii="Arial" w:hAnsi="Arial" w:cs="Arial"/>
          <w:color w:val="141414"/>
          <w:sz w:val="22"/>
          <w:szCs w:val="22"/>
        </w:rPr>
        <w:t xml:space="preserve"> jurí</w:t>
      </w:r>
      <w:r w:rsidR="002F68D2" w:rsidRPr="00827C18">
        <w:rPr>
          <w:rFonts w:ascii="Arial" w:hAnsi="Arial" w:cs="Arial"/>
          <w:color w:val="141414"/>
          <w:sz w:val="22"/>
          <w:szCs w:val="22"/>
        </w:rPr>
        <w:t>dica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</w:t>
      </w:r>
    </w:p>
    <w:p w14:paraId="080CECAD" w14:textId="77777777" w:rsidR="001376B9" w:rsidRPr="00827C18" w:rsidRDefault="001376B9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b/>
          <w:bCs/>
          <w:color w:val="111111"/>
          <w:sz w:val="22"/>
          <w:szCs w:val="22"/>
        </w:rPr>
        <w:t xml:space="preserve">REGISTRO ÚNICO DE BENEFICIARIOS FINALES. 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-RUB, el cual </w:t>
      </w:r>
      <w:r w:rsidR="002F68D2" w:rsidRPr="00827C18">
        <w:rPr>
          <w:rFonts w:ascii="Arial" w:hAnsi="Arial" w:cs="Arial"/>
          <w:color w:val="111111"/>
          <w:sz w:val="22"/>
          <w:szCs w:val="22"/>
        </w:rPr>
        <w:t>hará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́ parte integral del Registro </w:t>
      </w:r>
      <w:r w:rsidR="002F68D2" w:rsidRPr="00827C18">
        <w:rPr>
          <w:rFonts w:ascii="Arial" w:hAnsi="Arial" w:cs="Arial"/>
          <w:color w:val="111111"/>
          <w:sz w:val="22"/>
          <w:szCs w:val="22"/>
        </w:rPr>
        <w:t>Único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Tributario -RUT, cuyo funcionamiento y </w:t>
      </w:r>
      <w:r w:rsidR="002F68D2" w:rsidRPr="00827C18">
        <w:rPr>
          <w:rFonts w:ascii="Arial" w:hAnsi="Arial" w:cs="Arial"/>
          <w:color w:val="111111"/>
          <w:sz w:val="22"/>
          <w:szCs w:val="22"/>
        </w:rPr>
        <w:t>administración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está a cargo de la</w:t>
      </w:r>
      <w:r w:rsidR="002F68D2">
        <w:rPr>
          <w:rFonts w:ascii="Arial" w:hAnsi="Arial" w:cs="Arial"/>
          <w:color w:val="111111"/>
          <w:sz w:val="22"/>
          <w:szCs w:val="22"/>
        </w:rPr>
        <w:t xml:space="preserve"> 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DIAN. </w:t>
      </w:r>
    </w:p>
    <w:p w14:paraId="72E04DB6" w14:textId="4CEF1CBC" w:rsidR="001376B9" w:rsidRPr="00827C18" w:rsidRDefault="001376B9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b/>
          <w:bCs/>
          <w:color w:val="111111"/>
          <w:sz w:val="22"/>
          <w:szCs w:val="22"/>
        </w:rPr>
        <w:t xml:space="preserve">PROGRAMA INGRESO SOLIDARIO. 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La renta </w:t>
      </w:r>
      <w:r w:rsidR="00F14EB5" w:rsidRPr="00827C18">
        <w:rPr>
          <w:rFonts w:ascii="Arial" w:hAnsi="Arial" w:cs="Arial"/>
          <w:color w:val="111111"/>
          <w:sz w:val="22"/>
          <w:szCs w:val="22"/>
        </w:rPr>
        <w:t>básica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de emergencia otorgada mediante el Programa Ingreso Solidario a que hace referencia el Decreto Legislativo 518 de 2020, modificado por el Decreto Legislativo 812 de 2020, </w:t>
      </w:r>
      <w:r w:rsidR="002F68D2" w:rsidRPr="00827C18">
        <w:rPr>
          <w:rFonts w:ascii="Arial" w:hAnsi="Arial" w:cs="Arial"/>
          <w:color w:val="111111"/>
          <w:sz w:val="22"/>
          <w:szCs w:val="22"/>
        </w:rPr>
        <w:t>estará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́ vigente hasta diciembre de 2022 en las mismas condiciones y </w:t>
      </w:r>
      <w:r w:rsidR="00F14EB5" w:rsidRPr="00827C18">
        <w:rPr>
          <w:rFonts w:ascii="Arial" w:hAnsi="Arial" w:cs="Arial"/>
          <w:color w:val="111111"/>
          <w:sz w:val="22"/>
          <w:szCs w:val="22"/>
        </w:rPr>
        <w:t>términos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</w:t>
      </w:r>
      <w:r w:rsidR="00F14EB5" w:rsidRPr="00827C18">
        <w:rPr>
          <w:rFonts w:ascii="Arial" w:hAnsi="Arial" w:cs="Arial"/>
          <w:color w:val="111111"/>
          <w:sz w:val="22"/>
          <w:szCs w:val="22"/>
        </w:rPr>
        <w:t>allí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́ previstos, en especial las condiciones tarifarias y tributarias establecidas en los </w:t>
      </w:r>
      <w:r w:rsidR="00F14EB5" w:rsidRPr="00827C18">
        <w:rPr>
          <w:rFonts w:ascii="Arial" w:hAnsi="Arial" w:cs="Arial"/>
          <w:color w:val="111111"/>
          <w:sz w:val="22"/>
          <w:szCs w:val="22"/>
        </w:rPr>
        <w:t>artículos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5 y 6 del Decreto Legislativo 518 de 2020, respectivamente, que se </w:t>
      </w:r>
      <w:r w:rsidR="00F14EB5" w:rsidRPr="00827C18">
        <w:rPr>
          <w:rFonts w:ascii="Arial" w:hAnsi="Arial" w:cs="Arial"/>
          <w:color w:val="111111"/>
          <w:sz w:val="22"/>
          <w:szCs w:val="22"/>
        </w:rPr>
        <w:t>entenderán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vigentes hasta dicha fecha. </w:t>
      </w:r>
    </w:p>
    <w:p w14:paraId="2212270B" w14:textId="31366346" w:rsidR="0076519C" w:rsidRPr="00827C18" w:rsidRDefault="00F14EB5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 xml:space="preserve">El </w:t>
      </w:r>
      <w:r w:rsidR="0076519C" w:rsidRPr="00827C18">
        <w:rPr>
          <w:rFonts w:ascii="Arial" w:hAnsi="Arial" w:cs="Arial"/>
          <w:color w:val="111111"/>
          <w:sz w:val="22"/>
          <w:szCs w:val="22"/>
        </w:rPr>
        <w:t xml:space="preserve">Gobierno nacional en diciembre de 2022 </w:t>
      </w:r>
      <w:r w:rsidRPr="00827C18">
        <w:rPr>
          <w:rFonts w:ascii="Arial" w:hAnsi="Arial" w:cs="Arial"/>
          <w:color w:val="111111"/>
          <w:sz w:val="22"/>
          <w:szCs w:val="22"/>
        </w:rPr>
        <w:t>podrá</w:t>
      </w:r>
      <w:r w:rsidR="0076519C" w:rsidRPr="00827C18">
        <w:rPr>
          <w:rFonts w:ascii="Arial" w:hAnsi="Arial" w:cs="Arial"/>
          <w:color w:val="111111"/>
          <w:sz w:val="22"/>
          <w:szCs w:val="22"/>
        </w:rPr>
        <w:t xml:space="preserve">́ evaluar el programa y, conforme con los resultados obtenidos, </w:t>
      </w:r>
      <w:r w:rsidRPr="00827C18">
        <w:rPr>
          <w:rFonts w:ascii="Arial" w:hAnsi="Arial" w:cs="Arial"/>
          <w:color w:val="111111"/>
          <w:sz w:val="22"/>
          <w:szCs w:val="22"/>
        </w:rPr>
        <w:t>podrá</w:t>
      </w:r>
      <w:r w:rsidR="0076519C" w:rsidRPr="00827C18">
        <w:rPr>
          <w:rFonts w:ascii="Arial" w:hAnsi="Arial" w:cs="Arial"/>
          <w:color w:val="111111"/>
          <w:sz w:val="22"/>
          <w:szCs w:val="22"/>
        </w:rPr>
        <w:t xml:space="preserve">́ establecer su continuidad, e incorporar, de manera justificada, la exigencia de condiciones para el acceso al mismo, con el objeto de generar mejoras en su impacto, </w:t>
      </w:r>
      <w:r w:rsidRPr="00827C18">
        <w:rPr>
          <w:rFonts w:ascii="Arial" w:hAnsi="Arial" w:cs="Arial"/>
          <w:color w:val="111111"/>
          <w:sz w:val="22"/>
          <w:szCs w:val="22"/>
        </w:rPr>
        <w:t>así</w:t>
      </w:r>
      <w:r w:rsidR="0076519C" w:rsidRPr="00827C18">
        <w:rPr>
          <w:rFonts w:ascii="Arial" w:hAnsi="Arial" w:cs="Arial"/>
          <w:color w:val="111111"/>
          <w:sz w:val="22"/>
          <w:szCs w:val="22"/>
        </w:rPr>
        <w:t xml:space="preserve">́ como establecer la forma en la que se articulará y complementará con los otros programas de transferencias </w:t>
      </w:r>
      <w:r w:rsidRPr="00827C18">
        <w:rPr>
          <w:rFonts w:ascii="Arial" w:hAnsi="Arial" w:cs="Arial"/>
          <w:color w:val="111111"/>
          <w:sz w:val="22"/>
          <w:szCs w:val="22"/>
        </w:rPr>
        <w:t>económicas</w:t>
      </w:r>
      <w:r w:rsidR="0076519C" w:rsidRPr="00827C18">
        <w:rPr>
          <w:rFonts w:ascii="Arial" w:hAnsi="Arial" w:cs="Arial"/>
          <w:color w:val="111111"/>
          <w:sz w:val="22"/>
          <w:szCs w:val="22"/>
        </w:rPr>
        <w:t xml:space="preserve"> existentes. </w:t>
      </w:r>
    </w:p>
    <w:p w14:paraId="2D70A870" w14:textId="478D8FAF" w:rsidR="0076519C" w:rsidRPr="00827C18" w:rsidRDefault="00F14EB5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141414"/>
          <w:sz w:val="22"/>
          <w:szCs w:val="22"/>
        </w:rPr>
        <w:t>I</w:t>
      </w:r>
      <w:r w:rsidR="0076519C" w:rsidRPr="00827C18">
        <w:rPr>
          <w:rFonts w:ascii="Arial" w:hAnsi="Arial" w:cs="Arial"/>
          <w:b/>
          <w:bCs/>
          <w:color w:val="141414"/>
          <w:sz w:val="22"/>
          <w:szCs w:val="22"/>
        </w:rPr>
        <w:t xml:space="preserve">NCENTIVO A LA CREACIÓN DE NUEVOS EMPLEOS. 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>Con el objetivo de mitigar los efectos socio</w:t>
      </w:r>
      <w:r>
        <w:rPr>
          <w:rFonts w:ascii="Arial" w:hAnsi="Arial" w:cs="Arial"/>
          <w:color w:val="141414"/>
          <w:sz w:val="22"/>
          <w:szCs w:val="22"/>
        </w:rPr>
        <w:t xml:space="preserve"> </w:t>
      </w:r>
      <w:r w:rsidRPr="00827C18">
        <w:rPr>
          <w:rFonts w:ascii="Arial" w:hAnsi="Arial" w:cs="Arial"/>
          <w:color w:val="141414"/>
          <w:sz w:val="22"/>
          <w:szCs w:val="22"/>
        </w:rPr>
        <w:t>económicos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asociados a la pandemia del COVID-19 y reactivar la </w:t>
      </w:r>
      <w:r w:rsidRPr="00827C18">
        <w:rPr>
          <w:rFonts w:ascii="Arial" w:hAnsi="Arial" w:cs="Arial"/>
          <w:color w:val="141414"/>
          <w:sz w:val="22"/>
          <w:szCs w:val="22"/>
        </w:rPr>
        <w:t>generación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del empleo formal, </w:t>
      </w:r>
      <w:r>
        <w:rPr>
          <w:rFonts w:ascii="Arial" w:hAnsi="Arial" w:cs="Arial"/>
          <w:color w:val="141414"/>
          <w:sz w:val="22"/>
          <w:szCs w:val="22"/>
        </w:rPr>
        <w:t xml:space="preserve">se crea 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el incentivo </w:t>
      </w:r>
      <w:r>
        <w:rPr>
          <w:rFonts w:ascii="Arial" w:hAnsi="Arial" w:cs="Arial"/>
          <w:color w:val="141414"/>
          <w:sz w:val="22"/>
          <w:szCs w:val="22"/>
        </w:rPr>
        <w:t>par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a la </w:t>
      </w:r>
      <w:r w:rsidRPr="00827C18">
        <w:rPr>
          <w:rFonts w:ascii="Arial" w:hAnsi="Arial" w:cs="Arial"/>
          <w:color w:val="141414"/>
          <w:sz w:val="22"/>
          <w:szCs w:val="22"/>
        </w:rPr>
        <w:t>generación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de nuevos empleos que </w:t>
      </w:r>
      <w:r>
        <w:rPr>
          <w:rFonts w:ascii="Arial" w:hAnsi="Arial" w:cs="Arial"/>
          <w:color w:val="141414"/>
          <w:sz w:val="22"/>
          <w:szCs w:val="22"/>
        </w:rPr>
        <w:t>permita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financiar costos laborales como los pagos de se</w:t>
      </w:r>
      <w:r>
        <w:rPr>
          <w:rFonts w:ascii="Arial" w:hAnsi="Arial" w:cs="Arial"/>
          <w:color w:val="141414"/>
          <w:sz w:val="22"/>
          <w:szCs w:val="22"/>
        </w:rPr>
        <w:t>guridad social y parafiscales,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el cual </w:t>
      </w:r>
      <w:r w:rsidRPr="00827C18">
        <w:rPr>
          <w:rFonts w:ascii="Arial" w:hAnsi="Arial" w:cs="Arial"/>
          <w:color w:val="141414"/>
          <w:sz w:val="22"/>
          <w:szCs w:val="22"/>
        </w:rPr>
        <w:t>estará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́ dirigido a los empleadores que generen nuevos empleos </w:t>
      </w:r>
    </w:p>
    <w:p w14:paraId="55FAA98D" w14:textId="0F882B5B" w:rsidR="0076519C" w:rsidRPr="00827C18" w:rsidRDefault="00F14EB5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41414"/>
          <w:sz w:val="22"/>
          <w:szCs w:val="22"/>
        </w:rPr>
        <w:t>Para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trabajadores adicionales que correspondan a </w:t>
      </w:r>
      <w:r w:rsidRPr="00827C18">
        <w:rPr>
          <w:rFonts w:ascii="Arial" w:hAnsi="Arial" w:cs="Arial"/>
          <w:color w:val="141414"/>
          <w:sz w:val="22"/>
          <w:szCs w:val="22"/>
        </w:rPr>
        <w:t>jóvenes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entre 18 y 28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años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de edad, el empleador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recibirá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́ como incentivo un aporte estatal equivalente al veinticinco por ciento (25%) de un (1) salario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mínimo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legal mensual vigente (SMLMV) por cada uno de estos trabajadores adicionales. </w:t>
      </w:r>
    </w:p>
    <w:p w14:paraId="0C477066" w14:textId="1B3B3FEE" w:rsidR="0076519C" w:rsidRPr="00827C18" w:rsidRDefault="00D05545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>Tratándose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de trabajadores adicionales que no correspondan a los </w:t>
      </w:r>
      <w:r w:rsidRPr="00827C18">
        <w:rPr>
          <w:rFonts w:ascii="Arial" w:hAnsi="Arial" w:cs="Arial"/>
          <w:color w:val="141414"/>
          <w:sz w:val="22"/>
          <w:szCs w:val="22"/>
        </w:rPr>
        <w:t>jóvenes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a que hace referencia el inciso anterior, y que devenguen hasta tres (3) salarios </w:t>
      </w:r>
      <w:r w:rsidRPr="00827C18">
        <w:rPr>
          <w:rFonts w:ascii="Arial" w:hAnsi="Arial" w:cs="Arial"/>
          <w:color w:val="141414"/>
          <w:sz w:val="22"/>
          <w:szCs w:val="22"/>
        </w:rPr>
        <w:t>mínimos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mensuales legales vigentes (SMLMV), el empleador </w:t>
      </w:r>
      <w:r w:rsidRPr="00827C18">
        <w:rPr>
          <w:rFonts w:ascii="Arial" w:hAnsi="Arial" w:cs="Arial"/>
          <w:color w:val="141414"/>
          <w:sz w:val="22"/>
          <w:szCs w:val="22"/>
        </w:rPr>
        <w:t>recibirá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́ como incentivo un aporte estatal equivalente al diez (10%) de un (1) salario </w:t>
      </w:r>
      <w:r w:rsidRPr="00827C18">
        <w:rPr>
          <w:rFonts w:ascii="Arial" w:hAnsi="Arial" w:cs="Arial"/>
          <w:color w:val="141414"/>
          <w:sz w:val="22"/>
          <w:szCs w:val="22"/>
        </w:rPr>
        <w:t>mínimo</w:t>
      </w:r>
      <w:r w:rsidR="0076519C" w:rsidRPr="00827C18">
        <w:rPr>
          <w:rFonts w:ascii="Arial" w:hAnsi="Arial" w:cs="Arial"/>
          <w:color w:val="141414"/>
          <w:sz w:val="22"/>
          <w:szCs w:val="22"/>
        </w:rPr>
        <w:t xml:space="preserve"> legal mensual vigente (SMLMV) por cada uno de estos trabajadores adicionales. </w:t>
      </w:r>
    </w:p>
    <w:p w14:paraId="2BAFBB4B" w14:textId="214DDFCB" w:rsidR="0076519C" w:rsidRPr="00827C18" w:rsidRDefault="0076519C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Este incentivo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estará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́ vigente desde la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promulgación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la presente ley hasta agosto de 2023. El empleador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solo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podrá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́ recibir dentro de la vigencia de este incentivo, un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máximo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doce pagos. En todo caso, solo se efectuará un pago mensual. Para presentarse a las postulaciones posteriores a septiembre de 2022, el empleador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deberá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́ haberse presentado y recibido como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mínimo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un aporte antes de septiembre de 2022. </w:t>
      </w:r>
    </w:p>
    <w:p w14:paraId="0FB0F59B" w14:textId="0030FCF1" w:rsidR="0076519C" w:rsidRPr="00827C18" w:rsidRDefault="0076519C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El empleador no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recibirá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́ el incentivo a que hace referencia este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articulo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por aquellos trabajadores a los que se les haya aplicado la novedad de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suspensión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temporal de contrato de trabajo o de licencia no remunerada (SLN) para el mes por el que está recibiendo el incentivo, en los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términos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en que defina el Gobierno nacional. </w:t>
      </w:r>
    </w:p>
    <w:p w14:paraId="12CAE81E" w14:textId="603C816F" w:rsidR="0076519C" w:rsidRPr="00827C18" w:rsidRDefault="0076519C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Este incentivo se financiará con cargo a los recursos del Presupuesto General de la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Nación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en la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sección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presupuestal del Ministerio del Trabajo y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estará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́ supeditado a la </w:t>
      </w:r>
      <w:r w:rsidR="00D05545">
        <w:rPr>
          <w:rFonts w:ascii="Arial" w:hAnsi="Arial" w:cs="Arial"/>
          <w:color w:val="141414"/>
          <w:sz w:val="22"/>
          <w:szCs w:val="22"/>
        </w:rPr>
        <w:t xml:space="preserve">disponibilidad </w:t>
      </w:r>
    </w:p>
    <w:p w14:paraId="0D379234" w14:textId="06E43C8F" w:rsidR="0076519C" w:rsidRPr="00827C18" w:rsidRDefault="0076519C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Este incentivo no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podrá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́ otorgarse de manera </w:t>
      </w:r>
      <w:proofErr w:type="spellStart"/>
      <w:r w:rsidR="00D05545" w:rsidRPr="00827C18">
        <w:rPr>
          <w:rFonts w:ascii="Arial" w:hAnsi="Arial" w:cs="Arial"/>
          <w:color w:val="141414"/>
          <w:sz w:val="22"/>
          <w:szCs w:val="22"/>
        </w:rPr>
        <w:t>simultanea</w:t>
      </w:r>
      <w:proofErr w:type="spellEnd"/>
      <w:r w:rsidRPr="00827C18">
        <w:rPr>
          <w:rFonts w:ascii="Arial" w:hAnsi="Arial" w:cs="Arial"/>
          <w:color w:val="141414"/>
          <w:sz w:val="22"/>
          <w:szCs w:val="22"/>
        </w:rPr>
        <w:t xml:space="preserve"> con otros aportes o subsidios de nivel nacional no tributarios, </w:t>
      </w:r>
    </w:p>
    <w:p w14:paraId="27F09D6C" w14:textId="1C83D02A" w:rsidR="009D41C4" w:rsidRPr="00827C18" w:rsidRDefault="009D41C4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11111"/>
          <w:sz w:val="22"/>
          <w:szCs w:val="22"/>
        </w:rPr>
        <w:t xml:space="preserve">Una vez finalizado el programa y dentro de los cuatro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años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(4) siguientes, la Unidad de Pensiones y Parafiscales de la Seguridad Social -UGPP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podrá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́ iniciar el proceso de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fiscalización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del incentivo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aquí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́ establecido, en especial sobre los requisitos para acceder al mismo </w:t>
      </w:r>
    </w:p>
    <w:p w14:paraId="54D40B7B" w14:textId="3606040E" w:rsidR="009D41C4" w:rsidRPr="00827C18" w:rsidRDefault="009D41C4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b/>
          <w:bCs/>
          <w:color w:val="141414"/>
          <w:sz w:val="22"/>
          <w:szCs w:val="22"/>
        </w:rPr>
        <w:t xml:space="preserve">ARTÍCULO 26°. APOYO A EMPRESAS AFECTADAS POR EL PARO </w:t>
      </w:r>
      <w:r w:rsidR="00D05545" w:rsidRPr="00827C18">
        <w:rPr>
          <w:rFonts w:ascii="Arial" w:hAnsi="Arial" w:cs="Arial"/>
          <w:b/>
          <w:bCs/>
          <w:color w:val="141414"/>
          <w:sz w:val="22"/>
          <w:szCs w:val="22"/>
        </w:rPr>
        <w:t>Nacional</w:t>
      </w:r>
      <w:r w:rsidRPr="00827C18">
        <w:rPr>
          <w:rFonts w:ascii="Arial" w:hAnsi="Arial" w:cs="Arial"/>
          <w:b/>
          <w:bCs/>
          <w:color w:val="141414"/>
          <w:sz w:val="22"/>
          <w:szCs w:val="22"/>
        </w:rPr>
        <w:t xml:space="preserve">. </w:t>
      </w:r>
    </w:p>
    <w:p w14:paraId="65C93FF4" w14:textId="52281AB2" w:rsidR="009D41C4" w:rsidRPr="00827C18" w:rsidRDefault="009D41C4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Con el fin de reactivar la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economía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y apoyar a las empresas afectadas por el paro nacional, el Gobierno nacional en cabeza del Ministerio de Hacienda y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Crédito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Publico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otorgará a los empleadores personas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jurídicas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, personas naturales, consorcios, uniones temporales y patrimonios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autónomos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un aporte estatal para contribuir al pago de obligaciones laborales de los meses de mayo y junio de 2021 </w:t>
      </w:r>
    </w:p>
    <w:p w14:paraId="74A75E69" w14:textId="54ACAA7A" w:rsidR="009D41C4" w:rsidRPr="00827C18" w:rsidRDefault="009D41C4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b/>
          <w:bCs/>
          <w:color w:val="141414"/>
          <w:sz w:val="22"/>
          <w:szCs w:val="22"/>
        </w:rPr>
        <w:t xml:space="preserve">CRÉDITOS DE TESORERÍA P ARA LAS ENTIDADES TERRITORIALES Y SUS DESCENTRALIZADAS. 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Para efectos de compensar </w:t>
      </w:r>
      <w:r w:rsidR="00D05545">
        <w:rPr>
          <w:rFonts w:ascii="Arial" w:hAnsi="Arial" w:cs="Arial"/>
          <w:color w:val="141414"/>
          <w:sz w:val="22"/>
          <w:szCs w:val="22"/>
        </w:rPr>
        <w:t>la carg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a de los ingresos corrientes y aliviar presiones de liquidez ocasionadas por la crisis generada por la pandemia COVID 19, las entidades territoriales y sus descentralizadas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podrán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contratar con entidades financieras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créditos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tesorería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durante las vigencias fiscales 2021, 2022 Y 2023, que se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destinaran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exclusivamente a atender insuficiencia de caja de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carácter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temporal tanto en gastos de funcionamiento como de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inversión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y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deberán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cumplir con los siguientes requisitos: </w:t>
      </w:r>
    </w:p>
    <w:p w14:paraId="53DDDC20" w14:textId="0B9FEDD6" w:rsidR="009D41C4" w:rsidRPr="00827C18" w:rsidRDefault="009D41C4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Estos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créditos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no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podrán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exceder el 15% de los ingresos corrientes del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año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fiscal en que se contratan. </w:t>
      </w:r>
    </w:p>
    <w:p w14:paraId="0152ACBE" w14:textId="6E6757D3" w:rsidR="009D41C4" w:rsidRPr="00827C18" w:rsidRDefault="00D05545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>Serán</w:t>
      </w:r>
      <w:r w:rsidR="009D41C4" w:rsidRPr="00827C18">
        <w:rPr>
          <w:rFonts w:ascii="Arial" w:hAnsi="Arial" w:cs="Arial"/>
          <w:color w:val="141414"/>
          <w:sz w:val="22"/>
          <w:szCs w:val="22"/>
        </w:rPr>
        <w:t xml:space="preserve"> pagados con recursos diferentes del </w:t>
      </w:r>
      <w:r w:rsidRPr="00827C18">
        <w:rPr>
          <w:rFonts w:ascii="Arial" w:hAnsi="Arial" w:cs="Arial"/>
          <w:color w:val="141414"/>
          <w:sz w:val="22"/>
          <w:szCs w:val="22"/>
        </w:rPr>
        <w:t>crédito</w:t>
      </w:r>
      <w:r w:rsidR="009D41C4" w:rsidRPr="00827C18">
        <w:rPr>
          <w:rFonts w:ascii="Arial" w:hAnsi="Arial" w:cs="Arial"/>
          <w:color w:val="141414"/>
          <w:sz w:val="22"/>
          <w:szCs w:val="22"/>
        </w:rPr>
        <w:t xml:space="preserve"> </w:t>
      </w:r>
    </w:p>
    <w:p w14:paraId="5BB9A4D4" w14:textId="34DE0E80" w:rsidR="009D41C4" w:rsidRPr="00827C18" w:rsidRDefault="009D41C4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Deben ser pagados con intereses y otros cargos financieros antes del 31 de diciembre de la vigencia fiscal siguiente a aquella en que se contratan. </w:t>
      </w:r>
    </w:p>
    <w:p w14:paraId="7BF52E82" w14:textId="7DD787A9" w:rsidR="009D41C4" w:rsidRPr="00827C18" w:rsidRDefault="009D41C4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No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podrán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contraerse en cuanto existan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créditos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tesorería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en mora o sobregiros. </w:t>
      </w:r>
    </w:p>
    <w:p w14:paraId="6E0DF873" w14:textId="3864FFA5" w:rsidR="009D41C4" w:rsidRPr="00827C18" w:rsidRDefault="009D41C4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5545">
        <w:rPr>
          <w:rFonts w:ascii="Arial" w:hAnsi="Arial" w:cs="Arial"/>
          <w:bCs/>
          <w:color w:val="141414"/>
          <w:sz w:val="22"/>
          <w:szCs w:val="22"/>
        </w:rPr>
        <w:t>NÚMERO MÁXIMO DE ESTAMPILLAS</w:t>
      </w:r>
      <w:r w:rsidRPr="00827C18">
        <w:rPr>
          <w:rFonts w:ascii="Arial" w:hAnsi="Arial" w:cs="Arial"/>
          <w:b/>
          <w:bCs/>
          <w:color w:val="141414"/>
          <w:sz w:val="22"/>
          <w:szCs w:val="22"/>
        </w:rPr>
        <w:t xml:space="preserve">. 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El Gobierno nacional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deberá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́ radicar ante el Congreso de la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Republica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en un plazo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máximo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dos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años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, contados a partir del 10 de enero de 2022, un proyecto de ley que regule y ponga topes a la exigencia de estampillas para la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realización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un mismo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tramite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</w:t>
      </w:r>
    </w:p>
    <w:p w14:paraId="29014F43" w14:textId="19127C6D" w:rsidR="008629C5" w:rsidRPr="00827C18" w:rsidRDefault="008629C5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5545">
        <w:rPr>
          <w:rFonts w:ascii="Arial" w:hAnsi="Arial" w:cs="Arial"/>
          <w:bCs/>
          <w:color w:val="111111"/>
          <w:sz w:val="22"/>
          <w:szCs w:val="22"/>
        </w:rPr>
        <w:t xml:space="preserve">LÍNEAS DE CRÉDITO CON </w:t>
      </w:r>
      <w:r w:rsidR="00D05545">
        <w:rPr>
          <w:rFonts w:ascii="Arial" w:hAnsi="Arial" w:cs="Arial"/>
          <w:bCs/>
          <w:color w:val="111111"/>
          <w:sz w:val="22"/>
          <w:szCs w:val="22"/>
        </w:rPr>
        <w:t>T ASA COMPENSADA P</w:t>
      </w:r>
      <w:r w:rsidRPr="00D05545">
        <w:rPr>
          <w:rFonts w:ascii="Arial" w:hAnsi="Arial" w:cs="Arial"/>
          <w:bCs/>
          <w:color w:val="111111"/>
          <w:sz w:val="22"/>
          <w:szCs w:val="22"/>
        </w:rPr>
        <w:t>ARA LA REACTIVACIÓN ECONÓMICA.</w:t>
      </w:r>
      <w:r w:rsidRPr="00827C18">
        <w:rPr>
          <w:rFonts w:ascii="Arial" w:hAnsi="Arial" w:cs="Arial"/>
          <w:b/>
          <w:bCs/>
          <w:color w:val="111111"/>
          <w:sz w:val="22"/>
          <w:szCs w:val="22"/>
        </w:rPr>
        <w:t xml:space="preserve"> 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El Gobierno nacional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diseñara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́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líneas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de redescuento a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través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de la Financiera de Desarrollo Territorial S.A - Findeter y el Banco de Comercio Exterior de Colombia S.A. - </w:t>
      </w:r>
      <w:proofErr w:type="spellStart"/>
      <w:r w:rsidRPr="00827C18">
        <w:rPr>
          <w:rFonts w:ascii="Arial" w:hAnsi="Arial" w:cs="Arial"/>
          <w:color w:val="111111"/>
          <w:sz w:val="22"/>
          <w:szCs w:val="22"/>
        </w:rPr>
        <w:t>Bancóldex</w:t>
      </w:r>
      <w:proofErr w:type="spellEnd"/>
      <w:r w:rsidRPr="00827C18">
        <w:rPr>
          <w:rFonts w:ascii="Arial" w:hAnsi="Arial" w:cs="Arial"/>
          <w:color w:val="111111"/>
          <w:sz w:val="22"/>
          <w:szCs w:val="22"/>
        </w:rPr>
        <w:t xml:space="preserve">, dirigidas a empresas y entidades territoriales </w:t>
      </w:r>
    </w:p>
    <w:p w14:paraId="324A7E01" w14:textId="2B999D3D" w:rsidR="008629C5" w:rsidRPr="00827C18" w:rsidRDefault="008629C5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11111"/>
          <w:sz w:val="22"/>
          <w:szCs w:val="22"/>
        </w:rPr>
        <w:t xml:space="preserve">que busquen invertir en proyectos productivos con el fin de contribuir a la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reactivación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económica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 del </w:t>
      </w:r>
      <w:r w:rsidR="00D05545" w:rsidRPr="00827C18">
        <w:rPr>
          <w:rFonts w:ascii="Arial" w:hAnsi="Arial" w:cs="Arial"/>
          <w:color w:val="111111"/>
          <w:sz w:val="22"/>
          <w:szCs w:val="22"/>
        </w:rPr>
        <w:t>país</w:t>
      </w:r>
      <w:r w:rsidRPr="00827C18">
        <w:rPr>
          <w:rFonts w:ascii="Arial" w:hAnsi="Arial" w:cs="Arial"/>
          <w:color w:val="111111"/>
          <w:sz w:val="22"/>
          <w:szCs w:val="22"/>
        </w:rPr>
        <w:t xml:space="preserve">. </w:t>
      </w:r>
    </w:p>
    <w:p w14:paraId="6ED0BCD5" w14:textId="44BCA5B1" w:rsidR="00827C18" w:rsidRPr="00827C18" w:rsidRDefault="00827C18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En cumplimiento de lo establecido en la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Constitución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Política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, los recaudos que se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efectúen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durante la vigencia fiscal comprendida entre el 1 de enero al 31 de diciembre de 2022 con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ocasión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la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creación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las nuevas rentas o a la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modificación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las existentes realizadas mediante la presente ley, se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deberán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incorporar, en la parte correspondiente, al presupuesto de rentas y recursos de capital de dicha vigencia, con el objeto de equilibrar el presupuesto de ingresos con el de gastos. </w:t>
      </w:r>
    </w:p>
    <w:p w14:paraId="58E93ABA" w14:textId="363D65A2" w:rsidR="00827C18" w:rsidRPr="00827C18" w:rsidRDefault="00827C18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Transcurridos 5 </w:t>
      </w:r>
      <w:r w:rsidR="00D05545">
        <w:rPr>
          <w:rFonts w:ascii="Arial" w:hAnsi="Arial" w:cs="Arial"/>
          <w:color w:val="141414"/>
          <w:sz w:val="22"/>
          <w:szCs w:val="22"/>
        </w:rPr>
        <w:t>añ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os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desde la entrada en vigencia del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articulo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7 de la presente ley, y de la derogatoria del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parágrafo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1 del </w:t>
      </w:r>
      <w:proofErr w:type="spellStart"/>
      <w:r w:rsidR="00D05545" w:rsidRPr="00827C18">
        <w:rPr>
          <w:rFonts w:ascii="Arial" w:hAnsi="Arial" w:cs="Arial"/>
          <w:color w:val="141414"/>
          <w:sz w:val="22"/>
          <w:szCs w:val="22"/>
        </w:rPr>
        <w:t>articulo</w:t>
      </w:r>
      <w:proofErr w:type="spellEnd"/>
      <w:r w:rsidRPr="00827C18">
        <w:rPr>
          <w:rFonts w:ascii="Arial" w:hAnsi="Arial" w:cs="Arial"/>
          <w:color w:val="141414"/>
          <w:sz w:val="22"/>
          <w:szCs w:val="22"/>
        </w:rPr>
        <w:t xml:space="preserve"> 115 del Estatuto Tributario, se faculta al Gobierno nacional para evaluar los resultados y determinar la continuidad de estas medidas bajo criterios de competitividad tributaria y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económica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, de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generación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de empleo y preservar la estabilidad de las finanzas </w:t>
      </w:r>
      <w:proofErr w:type="spellStart"/>
      <w:r w:rsidR="00D05545" w:rsidRPr="00827C18">
        <w:rPr>
          <w:rFonts w:ascii="Arial" w:hAnsi="Arial" w:cs="Arial"/>
          <w:color w:val="141414"/>
          <w:sz w:val="22"/>
          <w:szCs w:val="22"/>
        </w:rPr>
        <w:t>publicas</w:t>
      </w:r>
      <w:proofErr w:type="spellEnd"/>
      <w:r w:rsidRPr="00827C18">
        <w:rPr>
          <w:rFonts w:ascii="Arial" w:hAnsi="Arial" w:cs="Arial"/>
          <w:color w:val="141414"/>
          <w:sz w:val="22"/>
          <w:szCs w:val="22"/>
        </w:rPr>
        <w:t xml:space="preserve">. </w:t>
      </w:r>
    </w:p>
    <w:p w14:paraId="067EDB73" w14:textId="3CB6A12B" w:rsidR="00827C18" w:rsidRPr="00827C18" w:rsidRDefault="00827C18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A partir de 1 de enero de 2022 deroga el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artículo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11 de la Ley 1473 de 2011. </w:t>
      </w:r>
    </w:p>
    <w:p w14:paraId="4BB57124" w14:textId="6C051843" w:rsidR="00827C18" w:rsidRPr="00827C18" w:rsidRDefault="00827C18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4. Los beneficios previstos en los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artículos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40 y 45 de la Ley 2068 de 2020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estarán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vigentes hasta el 31 de diciembre de 2022. </w:t>
      </w:r>
    </w:p>
    <w:p w14:paraId="0AC24BEC" w14:textId="332B1A5B" w:rsidR="00827C18" w:rsidRPr="00827C18" w:rsidRDefault="00827C18" w:rsidP="00827C1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7C18">
        <w:rPr>
          <w:rFonts w:ascii="Arial" w:hAnsi="Arial" w:cs="Arial"/>
          <w:color w:val="141414"/>
          <w:sz w:val="22"/>
          <w:szCs w:val="22"/>
        </w:rPr>
        <w:t xml:space="preserve">5. Los beneficios previstos en el </w:t>
      </w:r>
      <w:proofErr w:type="spellStart"/>
      <w:r w:rsidR="00D05545" w:rsidRPr="00827C18">
        <w:rPr>
          <w:rFonts w:ascii="Arial" w:hAnsi="Arial" w:cs="Arial"/>
          <w:color w:val="141414"/>
          <w:sz w:val="22"/>
          <w:szCs w:val="22"/>
        </w:rPr>
        <w:t>articulo</w:t>
      </w:r>
      <w:proofErr w:type="spellEnd"/>
      <w:r w:rsidRPr="00827C18">
        <w:rPr>
          <w:rFonts w:ascii="Arial" w:hAnsi="Arial" w:cs="Arial"/>
          <w:color w:val="141414"/>
          <w:sz w:val="22"/>
          <w:szCs w:val="22"/>
        </w:rPr>
        <w:t xml:space="preserve"> 1 del Decreto Legislativo 808 de 2020 </w:t>
      </w:r>
      <w:r w:rsidR="00D05545" w:rsidRPr="00827C18">
        <w:rPr>
          <w:rFonts w:ascii="Arial" w:hAnsi="Arial" w:cs="Arial"/>
          <w:color w:val="141414"/>
          <w:sz w:val="22"/>
          <w:szCs w:val="22"/>
        </w:rPr>
        <w:t>estarán</w:t>
      </w:r>
      <w:r w:rsidRPr="00827C18">
        <w:rPr>
          <w:rFonts w:ascii="Arial" w:hAnsi="Arial" w:cs="Arial"/>
          <w:color w:val="141414"/>
          <w:sz w:val="22"/>
          <w:szCs w:val="22"/>
        </w:rPr>
        <w:t xml:space="preserve"> vigentes hasta el 31 de diciembre de 2022. </w:t>
      </w:r>
    </w:p>
    <w:p w14:paraId="5AE7480B" w14:textId="77777777" w:rsidR="00003BAA" w:rsidRDefault="00003BAA" w:rsidP="00003BAA">
      <w:pPr>
        <w:pStyle w:val="NormalWeb"/>
        <w:numPr>
          <w:ilvl w:val="0"/>
          <w:numId w:val="1"/>
        </w:numPr>
      </w:pPr>
    </w:p>
    <w:p w14:paraId="75C3A762" w14:textId="77777777" w:rsidR="00C47A5C" w:rsidRPr="009F36F9" w:rsidRDefault="00C47A5C" w:rsidP="009F36F9">
      <w:pPr>
        <w:jc w:val="both"/>
        <w:rPr>
          <w:b/>
          <w:lang w:val="es-ES"/>
        </w:rPr>
      </w:pPr>
    </w:p>
    <w:sectPr w:rsidR="00C47A5C" w:rsidRPr="009F36F9" w:rsidSect="00F94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E5CD9"/>
    <w:multiLevelType w:val="hybridMultilevel"/>
    <w:tmpl w:val="7E04FE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F9"/>
    <w:rsid w:val="00003BAA"/>
    <w:rsid w:val="001376B9"/>
    <w:rsid w:val="002F68D2"/>
    <w:rsid w:val="0076519C"/>
    <w:rsid w:val="00827C18"/>
    <w:rsid w:val="008629C5"/>
    <w:rsid w:val="009D41C4"/>
    <w:rsid w:val="009F36F9"/>
    <w:rsid w:val="00C47A5C"/>
    <w:rsid w:val="00D05545"/>
    <w:rsid w:val="00E25C19"/>
    <w:rsid w:val="00EE75D2"/>
    <w:rsid w:val="00F14EB5"/>
    <w:rsid w:val="00F313AA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E387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6F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1411</Words>
  <Characters>7765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2021-09-17T15:43:00Z</dcterms:created>
  <dcterms:modified xsi:type="dcterms:W3CDTF">2021-09-17T20:52:00Z</dcterms:modified>
</cp:coreProperties>
</file>